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C63EB3">
            <w:pPr>
              <w:pStyle w:val="TableParagraph"/>
              <w:spacing w:before="5"/>
              <w:ind w:left="3262" w:right="3266"/>
              <w:jc w:val="center"/>
              <w:rPr>
                <w:b/>
                <w:sz w:val="24"/>
              </w:rPr>
            </w:pPr>
            <w:r>
              <w:rPr>
                <w:b/>
                <w:sz w:val="24"/>
              </w:rPr>
              <w:t>Scheda</w:t>
            </w:r>
            <w:r>
              <w:rPr>
                <w:b/>
                <w:spacing w:val="-1"/>
                <w:sz w:val="24"/>
              </w:rPr>
              <w:t xml:space="preserve"> </w:t>
            </w:r>
            <w:r w:rsidR="00310AF1">
              <w:rPr>
                <w:b/>
                <w:sz w:val="24"/>
              </w:rPr>
              <w:t>2</w:t>
            </w:r>
            <w:r w:rsidR="0087520A">
              <w:rPr>
                <w:b/>
                <w:sz w:val="24"/>
              </w:rPr>
              <w:t>2</w:t>
            </w:r>
          </w:p>
        </w:tc>
      </w:tr>
      <w:tr w:rsidR="0001527B" w:rsidTr="004F0F1B">
        <w:trPr>
          <w:trHeight w:hRule="exact" w:val="710"/>
        </w:trPr>
        <w:tc>
          <w:tcPr>
            <w:tcW w:w="9509" w:type="dxa"/>
            <w:gridSpan w:val="2"/>
          </w:tcPr>
          <w:p w:rsidR="0001527B" w:rsidRDefault="00102779" w:rsidP="000B1094">
            <w:pPr>
              <w:pStyle w:val="TableParagraph"/>
              <w:spacing w:before="202"/>
              <w:ind w:left="2558" w:right="167"/>
              <w:rPr>
                <w:sz w:val="24"/>
              </w:rPr>
            </w:pPr>
            <w:r>
              <w:rPr>
                <w:sz w:val="24"/>
              </w:rPr>
              <w:t xml:space="preserve">Servizi </w:t>
            </w:r>
            <w:r w:rsidR="000B1094">
              <w:rPr>
                <w:sz w:val="24"/>
              </w:rPr>
              <w:t>di integrazione cittadini stranieri</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493628"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B77053" w:rsidP="00493628">
            <w:pPr>
              <w:pStyle w:val="TableParagraph"/>
              <w:spacing w:before="127"/>
              <w:ind w:left="634" w:right="635"/>
              <w:jc w:val="center"/>
              <w:rPr>
                <w:b/>
                <w:sz w:val="24"/>
              </w:rPr>
            </w:pPr>
            <w:r>
              <w:rPr>
                <w:b/>
                <w:sz w:val="24"/>
              </w:rPr>
              <w:t>3,</w:t>
            </w:r>
            <w:r w:rsidR="00493628">
              <w:rPr>
                <w:b/>
                <w:sz w:val="24"/>
              </w:rPr>
              <w:t>50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B7F5E" w:rsidP="004F0F1B">
            <w:pPr>
              <w:pStyle w:val="TableParagraph"/>
              <w:spacing w:before="13"/>
              <w:ind w:left="3" w:right="0"/>
              <w:jc w:val="center"/>
              <w:rPr>
                <w:b/>
                <w:sz w:val="16"/>
              </w:rPr>
            </w:pPr>
            <w:r>
              <w:rPr>
                <w:b/>
                <w:sz w:val="16"/>
              </w:rPr>
              <w:t>0</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493628" w:rsidP="004F0F1B">
            <w:pPr>
              <w:pStyle w:val="TableParagraph"/>
              <w:spacing w:before="13"/>
              <w:ind w:left="3" w:right="0"/>
              <w:jc w:val="center"/>
              <w:rPr>
                <w:b/>
                <w:sz w:val="16"/>
              </w:rPr>
            </w:pPr>
            <w:r>
              <w:rPr>
                <w:b/>
                <w:sz w:val="16"/>
              </w:rPr>
              <w:t>4</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493628" w:rsidP="00FB7F5E">
            <w:pPr>
              <w:pStyle w:val="TableParagraph"/>
              <w:spacing w:before="84"/>
              <w:ind w:left="634" w:right="635"/>
              <w:jc w:val="center"/>
              <w:rPr>
                <w:b/>
                <w:sz w:val="24"/>
              </w:rPr>
            </w:pPr>
            <w:r>
              <w:rPr>
                <w:b/>
                <w:sz w:val="24"/>
              </w:rPr>
              <w:t>1,75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493628" w:rsidP="00493628">
            <w:pPr>
              <w:pStyle w:val="TableParagraph"/>
              <w:spacing w:before="144"/>
              <w:ind w:left="634" w:right="635"/>
              <w:jc w:val="center"/>
              <w:rPr>
                <w:b/>
                <w:sz w:val="24"/>
              </w:rPr>
            </w:pPr>
            <w:r>
              <w:rPr>
                <w:b/>
                <w:sz w:val="24"/>
              </w:rPr>
              <w:t>6,12</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A5713"/>
    <w:rsid w:val="003000A7"/>
    <w:rsid w:val="00310AF1"/>
    <w:rsid w:val="003A6B44"/>
    <w:rsid w:val="003F6723"/>
    <w:rsid w:val="00490BE0"/>
    <w:rsid w:val="00493628"/>
    <w:rsid w:val="004E4694"/>
    <w:rsid w:val="00503F8A"/>
    <w:rsid w:val="005D6D74"/>
    <w:rsid w:val="0087520A"/>
    <w:rsid w:val="00957EFE"/>
    <w:rsid w:val="00B51304"/>
    <w:rsid w:val="00B77053"/>
    <w:rsid w:val="00BD0CDE"/>
    <w:rsid w:val="00C63EB3"/>
    <w:rsid w:val="00DC6627"/>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708</Words>
  <Characters>4042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6</cp:revision>
  <dcterms:created xsi:type="dcterms:W3CDTF">2017-01-15T17:05:00Z</dcterms:created>
  <dcterms:modified xsi:type="dcterms:W3CDTF">2018-01-07T20:44:00Z</dcterms:modified>
</cp:coreProperties>
</file>