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F20817" w:rsidTr="004F0F1B">
        <w:trPr>
          <w:trHeight w:hRule="exact" w:val="305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5"/>
              <w:ind w:left="3262" w:right="32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6E004F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8</w:t>
            </w:r>
          </w:p>
        </w:tc>
      </w:tr>
      <w:tr w:rsidR="00F20817" w:rsidTr="004F0F1B">
        <w:trPr>
          <w:trHeight w:hRule="exact" w:val="710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55" w:line="256" w:lineRule="auto"/>
              <w:ind w:left="1814" w:right="167" w:hanging="1647"/>
              <w:rPr>
                <w:sz w:val="24"/>
              </w:rPr>
            </w:pPr>
            <w:proofErr w:type="spellStart"/>
            <w:r>
              <w:rPr>
                <w:sz w:val="24"/>
              </w:rPr>
              <w:t>Concessione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erogazione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sovvenzioni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contributi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sussidi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ausili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finanziari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nonché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attribuzione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vantaggi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economici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qualunque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genere</w:t>
            </w:r>
            <w:proofErr w:type="spellEnd"/>
          </w:p>
        </w:tc>
      </w:tr>
      <w:tr w:rsidR="00F20817" w:rsidTr="004F0F1B">
        <w:trPr>
          <w:trHeight w:hRule="exact" w:val="710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53" w:line="259" w:lineRule="auto"/>
              <w:ind w:left="40" w:right="16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N.B.: </w:t>
            </w:r>
            <w:proofErr w:type="spellStart"/>
            <w:r>
              <w:rPr>
                <w:i/>
                <w:sz w:val="24"/>
              </w:rPr>
              <w:t>i</w:t>
            </w:r>
            <w:proofErr w:type="spellEnd"/>
            <w:r>
              <w:rPr>
                <w:i/>
                <w:sz w:val="24"/>
              </w:rPr>
              <w:t xml:space="preserve"> numeri </w:t>
            </w:r>
            <w:proofErr w:type="spellStart"/>
            <w:r>
              <w:rPr>
                <w:i/>
                <w:sz w:val="24"/>
              </w:rPr>
              <w:t>che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abbiamo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inserito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nella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colonna</w:t>
            </w:r>
            <w:proofErr w:type="spellEnd"/>
            <w:r>
              <w:rPr>
                <w:i/>
                <w:sz w:val="24"/>
              </w:rPr>
              <w:t xml:space="preserve"> "</w:t>
            </w:r>
            <w:proofErr w:type="spellStart"/>
            <w:r>
              <w:rPr>
                <w:i/>
                <w:sz w:val="24"/>
              </w:rPr>
              <w:t>Punteggi</w:t>
            </w:r>
            <w:proofErr w:type="spellEnd"/>
            <w:r>
              <w:rPr>
                <w:i/>
                <w:sz w:val="24"/>
              </w:rPr>
              <w:t xml:space="preserve">" </w:t>
            </w:r>
            <w:proofErr w:type="spellStart"/>
            <w:r>
              <w:rPr>
                <w:i/>
                <w:sz w:val="24"/>
              </w:rPr>
              <w:t>sono</w:t>
            </w:r>
            <w:proofErr w:type="spellEnd"/>
            <w:r>
              <w:rPr>
                <w:i/>
                <w:sz w:val="24"/>
              </w:rPr>
              <w:t xml:space="preserve"> un </w:t>
            </w:r>
            <w:proofErr w:type="spellStart"/>
            <w:r>
              <w:rPr>
                <w:i/>
                <w:sz w:val="24"/>
              </w:rPr>
              <w:t>mero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esempio</w:t>
            </w:r>
            <w:proofErr w:type="spellEnd"/>
            <w:r>
              <w:rPr>
                <w:i/>
                <w:sz w:val="24"/>
              </w:rPr>
              <w:t xml:space="preserve">, per cui </w:t>
            </w:r>
            <w:proofErr w:type="spellStart"/>
            <w:r>
              <w:rPr>
                <w:i/>
                <w:sz w:val="24"/>
              </w:rPr>
              <w:t>devono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essere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personalizzati</w:t>
            </w:r>
            <w:proofErr w:type="spellEnd"/>
            <w:r>
              <w:rPr>
                <w:i/>
                <w:sz w:val="24"/>
              </w:rPr>
              <w:t xml:space="preserve"> da </w:t>
            </w:r>
            <w:proofErr w:type="spellStart"/>
            <w:r>
              <w:rPr>
                <w:i/>
                <w:sz w:val="24"/>
              </w:rPr>
              <w:t>ogni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ente</w:t>
            </w:r>
            <w:proofErr w:type="spellEnd"/>
          </w:p>
        </w:tc>
      </w:tr>
      <w:tr w:rsidR="00F20817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F20817" w:rsidRDefault="00F20817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borse</w:t>
            </w:r>
            <w:proofErr w:type="spellEnd"/>
            <w:r>
              <w:rPr>
                <w:sz w:val="16"/>
              </w:rPr>
              <w:t xml:space="preserve"> di studio)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appalto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653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affidamenti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F20817" w:rsidTr="004F0F1B">
        <w:trPr>
          <w:trHeight w:hRule="exact" w:val="158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62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6E004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F20817" w:rsidTr="004F0F1B">
        <w:trPr>
          <w:trHeight w:hRule="exact" w:val="535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6E004F" w:rsidP="004F0F1B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2,83</w:t>
            </w:r>
          </w:p>
        </w:tc>
      </w:tr>
      <w:tr w:rsidR="00F20817" w:rsidTr="004F0F1B">
        <w:trPr>
          <w:trHeight w:hRule="exact" w:val="782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F20817" w:rsidRDefault="00F20817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F20817" w:rsidRDefault="00F20817" w:rsidP="00F20817">
      <w:pPr>
        <w:rPr>
          <w:sz w:val="16"/>
        </w:rPr>
        <w:sectPr w:rsidR="00F20817">
          <w:pgSz w:w="11910" w:h="16840"/>
          <w:pgMar w:top="1060" w:right="1100" w:bottom="280" w:left="1080" w:header="720" w:footer="720" w:gutter="0"/>
          <w:cols w:space="720"/>
        </w:sectPr>
      </w:pPr>
    </w:p>
    <w:p w:rsidR="00F20817" w:rsidRDefault="00F20817" w:rsidP="00F20817">
      <w:pPr>
        <w:pStyle w:val="Corpotesto"/>
        <w:rPr>
          <w:rFonts w:ascii="Times New Roman"/>
          <w:b w:val="0"/>
          <w:sz w:val="20"/>
        </w:rPr>
      </w:pPr>
    </w:p>
    <w:p w:rsidR="00F20817" w:rsidRDefault="00F20817" w:rsidP="00F20817">
      <w:pPr>
        <w:pStyle w:val="Corpotesto"/>
        <w:spacing w:before="7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F20817" w:rsidTr="004F0F1B">
        <w:trPr>
          <w:trHeight w:hRule="exact" w:val="648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24" w:line="256" w:lineRule="auto"/>
              <w:ind w:left="1814" w:right="167" w:hanging="1647"/>
              <w:rPr>
                <w:sz w:val="24"/>
              </w:rPr>
            </w:pPr>
            <w:proofErr w:type="spellStart"/>
            <w:r>
              <w:rPr>
                <w:sz w:val="24"/>
              </w:rPr>
              <w:t>Concessione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erogazione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sovvenzioni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contributi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sussidi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ausili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finanziari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nonché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attribuzione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vantaggi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economici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qualunque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genere</w:t>
            </w:r>
            <w:proofErr w:type="spellEnd"/>
          </w:p>
        </w:tc>
      </w:tr>
      <w:tr w:rsidR="00F20817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F20817" w:rsidRDefault="00F20817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F20817" w:rsidRDefault="00F20817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1087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871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/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653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28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434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F20817" w:rsidRDefault="00F20817" w:rsidP="004F0F1B"/>
        </w:tc>
      </w:tr>
      <w:tr w:rsidR="00F20817" w:rsidTr="004F0F1B">
        <w:trPr>
          <w:trHeight w:hRule="exact" w:val="21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F20817" w:rsidTr="004F0F1B">
        <w:trPr>
          <w:trHeight w:hRule="exact" w:val="449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F20817" w:rsidP="004F0F1B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1,50</w:t>
            </w:r>
          </w:p>
        </w:tc>
      </w:tr>
      <w:tr w:rsidR="00F20817" w:rsidTr="004F0F1B">
        <w:trPr>
          <w:trHeight w:hRule="exact" w:val="552"/>
        </w:trPr>
        <w:tc>
          <w:tcPr>
            <w:tcW w:w="9509" w:type="dxa"/>
            <w:gridSpan w:val="2"/>
          </w:tcPr>
          <w:p w:rsidR="00F20817" w:rsidRDefault="00F20817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F20817" w:rsidRDefault="00F20817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F20817" w:rsidRDefault="00F20817" w:rsidP="00F20817">
      <w:pPr>
        <w:pStyle w:val="Corpotesto"/>
        <w:rPr>
          <w:rFonts w:ascii="Times New Roman"/>
          <w:b w:val="0"/>
          <w:sz w:val="20"/>
        </w:rPr>
      </w:pPr>
    </w:p>
    <w:p w:rsidR="00F20817" w:rsidRDefault="00F20817" w:rsidP="00F20817">
      <w:pPr>
        <w:pStyle w:val="Corpotesto"/>
        <w:rPr>
          <w:rFonts w:ascii="Times New Roman"/>
          <w:b w:val="0"/>
          <w:sz w:val="20"/>
        </w:rPr>
      </w:pPr>
    </w:p>
    <w:p w:rsidR="00F20817" w:rsidRDefault="00F20817" w:rsidP="00F20817">
      <w:pPr>
        <w:pStyle w:val="Corpotesto"/>
        <w:spacing w:before="9"/>
        <w:rPr>
          <w:rFonts w:ascii="Times New Roman"/>
          <w:b w:val="0"/>
          <w:sz w:val="16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757555</wp:posOffset>
                </wp:positionH>
                <wp:positionV relativeFrom="paragraph">
                  <wp:posOffset>149225</wp:posOffset>
                </wp:positionV>
                <wp:extent cx="6036310" cy="405765"/>
                <wp:effectExtent l="5080" t="5080" r="6985" b="8255"/>
                <wp:wrapTopAndBottom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6310" cy="405765"/>
                        </a:xfrm>
                        <a:prstGeom prst="rect">
                          <a:avLst/>
                        </a:prstGeom>
                        <a:solidFill>
                          <a:srgbClr val="DAEDF2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817" w:rsidRDefault="00F20817" w:rsidP="00F20817">
                            <w:pPr>
                              <w:pStyle w:val="Corpotesto"/>
                              <w:spacing w:before="171"/>
                              <w:ind w:left="2557"/>
                            </w:pPr>
                            <w:r>
                              <w:t xml:space="preserve">3. </w:t>
                            </w:r>
                            <w:proofErr w:type="spellStart"/>
                            <w:r>
                              <w:t>Valutazione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complessiva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del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rischio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59.65pt;margin-top:11.75pt;width:475.3pt;height:31.9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" fillcolor="#daedf2" strokeweight=".12pt">
                <v:textbox inset="0,0,0,0">
                  <w:txbxContent>
                    <w:p w:rsidR="00F20817" w:rsidRDefault="00F20817" w:rsidP="00F20817">
                      <w:pPr>
                        <w:pStyle w:val="Corpotesto"/>
                        <w:spacing w:before="171"/>
                        <w:ind w:left="2557"/>
                      </w:pPr>
                      <w:r>
                        <w:t>3. Valutazione complessiva del rischio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20817" w:rsidRDefault="00F20817" w:rsidP="00F20817">
      <w:pPr>
        <w:rPr>
          <w:rFonts w:ascii="Times New Roman"/>
          <w:sz w:val="16"/>
        </w:rPr>
        <w:sectPr w:rsidR="00F20817">
          <w:pgSz w:w="11910" w:h="16840"/>
          <w:pgMar w:top="1580" w:right="110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F20817" w:rsidTr="004F0F1B">
        <w:trPr>
          <w:trHeight w:hRule="exact" w:val="566"/>
        </w:trPr>
        <w:tc>
          <w:tcPr>
            <w:tcW w:w="7510" w:type="dxa"/>
          </w:tcPr>
          <w:p w:rsidR="00F20817" w:rsidRDefault="00F20817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F20817" w:rsidRDefault="006E004F" w:rsidP="004F0F1B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4,25</w:t>
            </w:r>
            <w:bookmarkStart w:id="0" w:name="_GoBack"/>
            <w:bookmarkEnd w:id="0"/>
          </w:p>
        </w:tc>
      </w:tr>
    </w:tbl>
    <w:p w:rsidR="00F20817" w:rsidRDefault="00F20817" w:rsidP="00F20817">
      <w:pPr>
        <w:jc w:val="center"/>
        <w:rPr>
          <w:sz w:val="24"/>
        </w:rPr>
        <w:sectPr w:rsidR="00F20817">
          <w:pgSz w:w="11910" w:h="16840"/>
          <w:pgMar w:top="1060" w:right="1100" w:bottom="280" w:left="1080" w:header="720" w:footer="720" w:gutter="0"/>
          <w:cols w:space="720"/>
        </w:sectPr>
      </w:pPr>
    </w:p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17"/>
    <w:rsid w:val="006E004F"/>
    <w:rsid w:val="00F20817"/>
    <w:rsid w:val="00F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136C6-8C9F-4BC4-83B8-8DF5EC98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2081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08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20817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20817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F20817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2</cp:revision>
  <dcterms:created xsi:type="dcterms:W3CDTF">2017-01-15T15:51:00Z</dcterms:created>
  <dcterms:modified xsi:type="dcterms:W3CDTF">2018-01-07T20:35:00Z</dcterms:modified>
</cp:coreProperties>
</file>