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DD9" w:rsidRDefault="005C2DD9"/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5C2DD9" w:rsidTr="004F0F1B">
        <w:trPr>
          <w:trHeight w:hRule="exact" w:val="305"/>
        </w:trPr>
        <w:tc>
          <w:tcPr>
            <w:tcW w:w="9509" w:type="dxa"/>
            <w:gridSpan w:val="2"/>
          </w:tcPr>
          <w:p w:rsidR="005C2DD9" w:rsidRDefault="005C2DD9" w:rsidP="005C0130">
            <w:pPr>
              <w:pStyle w:val="TableParagraph"/>
              <w:spacing w:before="5"/>
              <w:ind w:left="3262" w:right="32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5C0130">
              <w:rPr>
                <w:b/>
                <w:sz w:val="24"/>
              </w:rPr>
              <w:t>26</w:t>
            </w:r>
          </w:p>
        </w:tc>
      </w:tr>
      <w:tr w:rsidR="005C2DD9" w:rsidTr="004F0F1B">
        <w:trPr>
          <w:trHeight w:hRule="exact" w:val="710"/>
        </w:trPr>
        <w:tc>
          <w:tcPr>
            <w:tcW w:w="9509" w:type="dxa"/>
            <w:gridSpan w:val="2"/>
          </w:tcPr>
          <w:p w:rsidR="005C2DD9" w:rsidRDefault="005C2DD9" w:rsidP="004F0F1B">
            <w:pPr>
              <w:pStyle w:val="TableParagraph"/>
              <w:spacing w:before="202"/>
              <w:ind w:left="88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Rilascio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permesso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costruire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assoggettate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autorizzazione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paesaggistica</w:t>
            </w:r>
            <w:proofErr w:type="spellEnd"/>
          </w:p>
        </w:tc>
      </w:tr>
      <w:tr w:rsidR="005C2DD9" w:rsidTr="004F0F1B">
        <w:trPr>
          <w:trHeight w:hRule="exact" w:val="710"/>
        </w:trPr>
        <w:tc>
          <w:tcPr>
            <w:tcW w:w="9509" w:type="dxa"/>
            <w:gridSpan w:val="2"/>
          </w:tcPr>
          <w:p w:rsidR="005C2DD9" w:rsidRDefault="005C2DD9" w:rsidP="004F0F1B">
            <w:pPr>
              <w:pStyle w:val="TableParagraph"/>
              <w:spacing w:before="53" w:line="259" w:lineRule="auto"/>
              <w:ind w:left="40"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N.B.: </w:t>
            </w:r>
            <w:proofErr w:type="spellStart"/>
            <w:r>
              <w:rPr>
                <w:i/>
                <w:sz w:val="24"/>
              </w:rPr>
              <w:t>i</w:t>
            </w:r>
            <w:proofErr w:type="spellEnd"/>
            <w:r>
              <w:rPr>
                <w:i/>
                <w:sz w:val="24"/>
              </w:rPr>
              <w:t xml:space="preserve"> numeri </w:t>
            </w:r>
            <w:proofErr w:type="spellStart"/>
            <w:r>
              <w:rPr>
                <w:i/>
                <w:sz w:val="24"/>
              </w:rPr>
              <w:t>che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abbiamo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inserito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nella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colonna</w:t>
            </w:r>
            <w:proofErr w:type="spellEnd"/>
            <w:r>
              <w:rPr>
                <w:i/>
                <w:sz w:val="24"/>
              </w:rPr>
              <w:t xml:space="preserve"> "</w:t>
            </w:r>
            <w:proofErr w:type="spellStart"/>
            <w:r>
              <w:rPr>
                <w:i/>
                <w:sz w:val="24"/>
              </w:rPr>
              <w:t>Punteggi</w:t>
            </w:r>
            <w:proofErr w:type="spellEnd"/>
            <w:r>
              <w:rPr>
                <w:i/>
                <w:sz w:val="24"/>
              </w:rPr>
              <w:t xml:space="preserve">" </w:t>
            </w:r>
            <w:proofErr w:type="spellStart"/>
            <w:r>
              <w:rPr>
                <w:i/>
                <w:sz w:val="24"/>
              </w:rPr>
              <w:t>sono</w:t>
            </w:r>
            <w:proofErr w:type="spellEnd"/>
            <w:r>
              <w:rPr>
                <w:i/>
                <w:sz w:val="24"/>
              </w:rPr>
              <w:t xml:space="preserve"> un </w:t>
            </w:r>
            <w:proofErr w:type="spellStart"/>
            <w:r>
              <w:rPr>
                <w:i/>
                <w:sz w:val="24"/>
              </w:rPr>
              <w:t>mero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esempio</w:t>
            </w:r>
            <w:proofErr w:type="spellEnd"/>
            <w:r>
              <w:rPr>
                <w:i/>
                <w:sz w:val="24"/>
              </w:rPr>
              <w:t xml:space="preserve">, per cui </w:t>
            </w:r>
            <w:proofErr w:type="spellStart"/>
            <w:r>
              <w:rPr>
                <w:i/>
                <w:sz w:val="24"/>
              </w:rPr>
              <w:t>devono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essere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personalizzati</w:t>
            </w:r>
            <w:proofErr w:type="spellEnd"/>
            <w:r>
              <w:rPr>
                <w:i/>
                <w:sz w:val="24"/>
              </w:rPr>
              <w:t xml:space="preserve"> da </w:t>
            </w:r>
            <w:proofErr w:type="spellStart"/>
            <w:r>
              <w:rPr>
                <w:i/>
                <w:sz w:val="24"/>
              </w:rPr>
              <w:t>ogni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ente</w:t>
            </w:r>
            <w:proofErr w:type="spellEnd"/>
          </w:p>
        </w:tc>
      </w:tr>
      <w:tr w:rsidR="005C2DD9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5C2DD9" w:rsidRDefault="005C2DD9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>
            <w:pPr>
              <w:pStyle w:val="TableParagraph"/>
              <w:spacing w:before="1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30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RPr="00110F72" w:rsidTr="004F0F1B">
        <w:trPr>
          <w:trHeight w:hRule="exact" w:val="216"/>
        </w:trPr>
        <w:tc>
          <w:tcPr>
            <w:tcW w:w="7510" w:type="dxa"/>
          </w:tcPr>
          <w:p w:rsidR="005C2DD9" w:rsidRPr="00110F72" w:rsidRDefault="005C2DD9" w:rsidP="004F0F1B">
            <w:pPr>
              <w:pStyle w:val="TableParagraph"/>
              <w:rPr>
                <w:sz w:val="16"/>
                <w:lang w:val="it-IT"/>
              </w:rPr>
            </w:pPr>
            <w:r w:rsidRPr="00110F72">
              <w:rPr>
                <w:sz w:val="16"/>
                <w:lang w:val="it-IT"/>
              </w:rPr>
              <w:t>Il processo produce effetti diretti all'esterno dell'amministrazione di riferimento?</w:t>
            </w:r>
          </w:p>
        </w:tc>
        <w:tc>
          <w:tcPr>
            <w:tcW w:w="1999" w:type="dxa"/>
            <w:shd w:val="clear" w:color="auto" w:fill="DAEDF2"/>
          </w:tcPr>
          <w:p w:rsidR="005C2DD9" w:rsidRPr="00110F72" w:rsidRDefault="005C2DD9" w:rsidP="004F0F1B">
            <w:pPr>
              <w:rPr>
                <w:lang w:val="it-IT"/>
              </w:rPr>
            </w:pP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434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434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borse</w:t>
            </w:r>
            <w:proofErr w:type="spellEnd"/>
            <w:r>
              <w:rPr>
                <w:sz w:val="16"/>
              </w:rPr>
              <w:t xml:space="preserve"> di studio)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appalto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653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affidamenti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5C2DD9" w:rsidTr="004F0F1B">
        <w:trPr>
          <w:trHeight w:hRule="exact" w:val="158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62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434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5C2DD9" w:rsidTr="004F0F1B">
        <w:trPr>
          <w:trHeight w:hRule="exact" w:val="535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3,33</w:t>
            </w:r>
          </w:p>
        </w:tc>
      </w:tr>
      <w:tr w:rsidR="005C2DD9" w:rsidTr="004F0F1B">
        <w:trPr>
          <w:trHeight w:hRule="exact" w:val="782"/>
        </w:trPr>
        <w:tc>
          <w:tcPr>
            <w:tcW w:w="9509" w:type="dxa"/>
            <w:gridSpan w:val="2"/>
          </w:tcPr>
          <w:p w:rsidR="005C2DD9" w:rsidRDefault="005C2DD9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5C2DD9" w:rsidRDefault="005C2DD9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5C2DD9" w:rsidRDefault="005C2DD9" w:rsidP="005C2DD9">
      <w:pPr>
        <w:rPr>
          <w:sz w:val="16"/>
        </w:rPr>
        <w:sectPr w:rsidR="005C2DD9">
          <w:pgSz w:w="11910" w:h="16840"/>
          <w:pgMar w:top="1060" w:right="1100" w:bottom="280" w:left="1080" w:header="720" w:footer="720" w:gutter="0"/>
          <w:cols w:space="720"/>
        </w:sectPr>
      </w:pPr>
    </w:p>
    <w:p w:rsidR="005C2DD9" w:rsidRDefault="005C2DD9" w:rsidP="005C2DD9">
      <w:pPr>
        <w:pStyle w:val="Corpotesto"/>
        <w:spacing w:before="10"/>
        <w:rPr>
          <w:rFonts w:ascii="Times New Roman"/>
          <w:b w:val="0"/>
          <w:sz w:val="25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5C2DD9" w:rsidTr="004F0F1B">
        <w:trPr>
          <w:trHeight w:hRule="exact" w:val="626"/>
        </w:trPr>
        <w:tc>
          <w:tcPr>
            <w:tcW w:w="9509" w:type="dxa"/>
            <w:gridSpan w:val="2"/>
          </w:tcPr>
          <w:p w:rsidR="005C2DD9" w:rsidRDefault="005C2DD9" w:rsidP="004F0F1B">
            <w:pPr>
              <w:pStyle w:val="TableParagraph"/>
              <w:spacing w:before="161"/>
              <w:ind w:left="88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Rilascio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permesso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costruire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aree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assoggettate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autorizzazione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paesaggistica</w:t>
            </w:r>
            <w:proofErr w:type="spellEnd"/>
          </w:p>
        </w:tc>
      </w:tr>
      <w:tr w:rsidR="005C2DD9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5C2DD9" w:rsidRDefault="005C2DD9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5C2DD9" w:rsidRDefault="005C2DD9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1087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r w:rsidRPr="00110F72">
              <w:rPr>
                <w:sz w:val="16"/>
                <w:lang w:val="it-IT"/>
              </w:rPr>
              <w:t xml:space="preserve">Rispetto al totale del personale impiegato nel singolo servizio (unità organizzativa semplice) competente a svolgere il processo (o la fase del processo di competenza della PA) nell'ambito della singola </w:t>
            </w:r>
            <w:proofErr w:type="gramStart"/>
            <w:r w:rsidRPr="00110F72">
              <w:rPr>
                <w:sz w:val="16"/>
                <w:lang w:val="it-IT"/>
              </w:rPr>
              <w:t>PA,  quale</w:t>
            </w:r>
            <w:proofErr w:type="gramEnd"/>
            <w:r w:rsidRPr="00110F72">
              <w:rPr>
                <w:sz w:val="16"/>
                <w:lang w:val="it-IT"/>
              </w:rPr>
              <w:t xml:space="preserve"> percentuale di personale è impiegata nel processo?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871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434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/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RPr="00110F72" w:rsidTr="004F0F1B">
        <w:trPr>
          <w:trHeight w:hRule="exact" w:val="521"/>
        </w:trPr>
        <w:tc>
          <w:tcPr>
            <w:tcW w:w="7510" w:type="dxa"/>
          </w:tcPr>
          <w:p w:rsidR="005C2DD9" w:rsidRPr="00110F72" w:rsidRDefault="005C2DD9" w:rsidP="004F0F1B">
            <w:pPr>
              <w:pStyle w:val="TableParagraph"/>
              <w:spacing w:before="61" w:line="266" w:lineRule="auto"/>
              <w:rPr>
                <w:sz w:val="16"/>
                <w:lang w:val="it-IT"/>
              </w:rPr>
            </w:pPr>
            <w:r w:rsidRPr="00110F72">
              <w:rPr>
                <w:sz w:val="16"/>
                <w:lang w:val="it-IT"/>
              </w:rPr>
              <w:t xml:space="preserve">A quale livello può collocarsi il rischio dell'evento (livello apicale, intermedio, basso), ovvero </w:t>
            </w:r>
            <w:proofErr w:type="gramStart"/>
            <w:r w:rsidRPr="00110F72">
              <w:rPr>
                <w:sz w:val="16"/>
                <w:lang w:val="it-IT"/>
              </w:rPr>
              <w:t>la  posizione</w:t>
            </w:r>
            <w:proofErr w:type="gramEnd"/>
            <w:r w:rsidRPr="00110F72">
              <w:rPr>
                <w:sz w:val="16"/>
                <w:lang w:val="it-IT"/>
              </w:rPr>
              <w:t>/il ruolo che l'eventuale soggetto riveste nell'organizzazione è elevata, media o</w:t>
            </w:r>
            <w:r w:rsidRPr="00110F72">
              <w:rPr>
                <w:spacing w:val="9"/>
                <w:sz w:val="16"/>
                <w:lang w:val="it-IT"/>
              </w:rPr>
              <w:t xml:space="preserve"> </w:t>
            </w:r>
            <w:r w:rsidRPr="00110F72">
              <w:rPr>
                <w:sz w:val="16"/>
                <w:lang w:val="it-IT"/>
              </w:rPr>
              <w:t>bassa?</w:t>
            </w:r>
          </w:p>
        </w:tc>
        <w:tc>
          <w:tcPr>
            <w:tcW w:w="1999" w:type="dxa"/>
            <w:shd w:val="clear" w:color="auto" w:fill="DAEDF2"/>
          </w:tcPr>
          <w:p w:rsidR="005C2DD9" w:rsidRPr="00110F72" w:rsidRDefault="005C2DD9" w:rsidP="004F0F1B">
            <w:pPr>
              <w:rPr>
                <w:lang w:val="it-IT"/>
              </w:rPr>
            </w:pP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RPr="00110F72" w:rsidTr="004F0F1B">
        <w:trPr>
          <w:trHeight w:hRule="exact" w:val="434"/>
        </w:trPr>
        <w:tc>
          <w:tcPr>
            <w:tcW w:w="7510" w:type="dxa"/>
          </w:tcPr>
          <w:p w:rsidR="005C2DD9" w:rsidRPr="00110F72" w:rsidRDefault="005C2DD9" w:rsidP="004F0F1B">
            <w:pPr>
              <w:pStyle w:val="TableParagraph"/>
              <w:spacing w:before="121"/>
              <w:rPr>
                <w:sz w:val="16"/>
                <w:lang w:val="it-IT"/>
              </w:rPr>
            </w:pPr>
            <w:proofErr w:type="gramStart"/>
            <w:r w:rsidRPr="00110F72">
              <w:rPr>
                <w:sz w:val="16"/>
                <w:lang w:val="it-IT"/>
              </w:rPr>
              <w:t>a</w:t>
            </w:r>
            <w:proofErr w:type="gramEnd"/>
            <w:r w:rsidRPr="00110F72">
              <w:rPr>
                <w:sz w:val="16"/>
                <w:lang w:val="it-IT"/>
              </w:rPr>
              <w:t xml:space="preserve"> livello di dirigente di ufficio non generale, ovvero posizione apicale o posizione organizzativa = 3</w:t>
            </w:r>
          </w:p>
        </w:tc>
        <w:tc>
          <w:tcPr>
            <w:tcW w:w="1999" w:type="dxa"/>
            <w:shd w:val="clear" w:color="auto" w:fill="DAEDF2"/>
          </w:tcPr>
          <w:p w:rsidR="005C2DD9" w:rsidRPr="00110F72" w:rsidRDefault="005C2DD9" w:rsidP="004F0F1B">
            <w:pPr>
              <w:rPr>
                <w:lang w:val="it-IT"/>
              </w:rPr>
            </w:pPr>
          </w:p>
        </w:tc>
      </w:tr>
      <w:tr w:rsidR="005C2DD9" w:rsidRPr="00110F72" w:rsidTr="004F0F1B">
        <w:trPr>
          <w:trHeight w:hRule="exact" w:val="216"/>
        </w:trPr>
        <w:tc>
          <w:tcPr>
            <w:tcW w:w="7510" w:type="dxa"/>
          </w:tcPr>
          <w:p w:rsidR="005C2DD9" w:rsidRPr="00110F72" w:rsidRDefault="005C2DD9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110F72">
              <w:rPr>
                <w:sz w:val="16"/>
                <w:lang w:val="it-IT"/>
              </w:rPr>
              <w:t>a</w:t>
            </w:r>
            <w:proofErr w:type="gramEnd"/>
            <w:r w:rsidRPr="00110F72">
              <w:rPr>
                <w:sz w:val="16"/>
                <w:lang w:val="it-IT"/>
              </w:rPr>
              <w:t xml:space="preserve"> livello di dirigente d'ufficio generale = 4</w:t>
            </w:r>
          </w:p>
        </w:tc>
        <w:tc>
          <w:tcPr>
            <w:tcW w:w="1999" w:type="dxa"/>
            <w:shd w:val="clear" w:color="auto" w:fill="DAEDF2"/>
          </w:tcPr>
          <w:p w:rsidR="005C2DD9" w:rsidRPr="00110F72" w:rsidRDefault="005C2DD9" w:rsidP="004F0F1B">
            <w:pPr>
              <w:rPr>
                <w:lang w:val="it-IT"/>
              </w:rPr>
            </w:pPr>
          </w:p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5C2DD9" w:rsidRDefault="005C2DD9" w:rsidP="004F0F1B"/>
        </w:tc>
      </w:tr>
      <w:tr w:rsidR="005C2DD9" w:rsidTr="004F0F1B">
        <w:trPr>
          <w:trHeight w:hRule="exact" w:val="21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5C2DD9" w:rsidTr="004F0F1B">
        <w:trPr>
          <w:trHeight w:hRule="exact" w:val="449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2DD9" w:rsidP="004F0F1B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1,25</w:t>
            </w:r>
          </w:p>
        </w:tc>
      </w:tr>
      <w:tr w:rsidR="005C2DD9" w:rsidTr="004F0F1B">
        <w:trPr>
          <w:trHeight w:hRule="exact" w:val="552"/>
        </w:trPr>
        <w:tc>
          <w:tcPr>
            <w:tcW w:w="9509" w:type="dxa"/>
            <w:gridSpan w:val="2"/>
          </w:tcPr>
          <w:p w:rsidR="005C2DD9" w:rsidRDefault="005C2DD9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5C2DD9" w:rsidRDefault="005C2DD9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5C2DD9" w:rsidRDefault="005C2DD9" w:rsidP="005C2DD9">
      <w:pPr>
        <w:pStyle w:val="Corpotesto"/>
        <w:rPr>
          <w:rFonts w:ascii="Times New Roman"/>
          <w:b w:val="0"/>
          <w:sz w:val="20"/>
        </w:rPr>
      </w:pPr>
    </w:p>
    <w:p w:rsidR="005C2DD9" w:rsidRDefault="005C2DD9" w:rsidP="005C2DD9">
      <w:pPr>
        <w:pStyle w:val="Corpotesto"/>
        <w:rPr>
          <w:rFonts w:ascii="Times New Roman"/>
          <w:b w:val="0"/>
          <w:sz w:val="20"/>
        </w:rPr>
      </w:pPr>
    </w:p>
    <w:p w:rsidR="005C2DD9" w:rsidRDefault="005C2DD9" w:rsidP="005C2DD9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5C2DD9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5C2DD9" w:rsidRDefault="005C2DD9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5C2DD9" w:rsidTr="004F0F1B">
        <w:trPr>
          <w:trHeight w:hRule="exact" w:val="566"/>
        </w:trPr>
        <w:tc>
          <w:tcPr>
            <w:tcW w:w="7510" w:type="dxa"/>
          </w:tcPr>
          <w:p w:rsidR="005C2DD9" w:rsidRDefault="005C2DD9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5C2DD9" w:rsidRDefault="005C0130" w:rsidP="004F0F1B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7,49</w:t>
            </w:r>
            <w:bookmarkStart w:id="0" w:name="_GoBack"/>
            <w:bookmarkEnd w:id="0"/>
          </w:p>
        </w:tc>
      </w:tr>
    </w:tbl>
    <w:p w:rsidR="005C2DD9" w:rsidRDefault="005C2DD9" w:rsidP="005C2DD9">
      <w:pPr>
        <w:jc w:val="center"/>
        <w:rPr>
          <w:sz w:val="24"/>
        </w:rPr>
        <w:sectPr w:rsidR="005C2DD9">
          <w:pgSz w:w="11910" w:h="16840"/>
          <w:pgMar w:top="1580" w:right="1100" w:bottom="280" w:left="1080" w:header="720" w:footer="720" w:gutter="0"/>
          <w:cols w:space="720"/>
        </w:sectPr>
      </w:pPr>
    </w:p>
    <w:p w:rsidR="005C2DD9" w:rsidRPr="005C2DD9" w:rsidRDefault="005C2DD9" w:rsidP="005C2DD9"/>
    <w:p w:rsidR="005C2DD9" w:rsidRPr="005C2DD9" w:rsidRDefault="005C2DD9" w:rsidP="005C2DD9"/>
    <w:p w:rsidR="005C2DD9" w:rsidRDefault="005C2DD9" w:rsidP="005C2DD9"/>
    <w:p w:rsidR="00F477FC" w:rsidRPr="005C2DD9" w:rsidRDefault="005C2DD9" w:rsidP="005C2DD9">
      <w:pPr>
        <w:tabs>
          <w:tab w:val="left" w:pos="6673"/>
        </w:tabs>
      </w:pPr>
      <w:r>
        <w:tab/>
      </w:r>
    </w:p>
    <w:sectPr w:rsidR="00F477FC" w:rsidRPr="005C2D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9"/>
    <w:rsid w:val="00110F72"/>
    <w:rsid w:val="005C0130"/>
    <w:rsid w:val="005C2DD9"/>
    <w:rsid w:val="00F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4554A-14A1-4E74-A4A1-9346AE50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C2DD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D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C2DD9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2DD9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5C2DD9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4</cp:revision>
  <dcterms:created xsi:type="dcterms:W3CDTF">2017-01-15T15:51:00Z</dcterms:created>
  <dcterms:modified xsi:type="dcterms:W3CDTF">2018-01-07T20:56:00Z</dcterms:modified>
</cp:coreProperties>
</file>