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3F6723">
            <w:pPr>
              <w:pStyle w:val="TableParagraph"/>
              <w:spacing w:before="5"/>
              <w:ind w:left="3262" w:right="3266"/>
              <w:jc w:val="center"/>
              <w:rPr>
                <w:b/>
                <w:sz w:val="24"/>
              </w:rPr>
            </w:pPr>
            <w:r>
              <w:rPr>
                <w:b/>
                <w:sz w:val="24"/>
              </w:rPr>
              <w:t>Scheda</w:t>
            </w:r>
            <w:r>
              <w:rPr>
                <w:b/>
                <w:spacing w:val="-1"/>
                <w:sz w:val="24"/>
              </w:rPr>
              <w:t xml:space="preserve"> </w:t>
            </w:r>
            <w:r w:rsidR="00390D96">
              <w:rPr>
                <w:b/>
                <w:sz w:val="24"/>
              </w:rPr>
              <w:t>35</w:t>
            </w:r>
          </w:p>
        </w:tc>
      </w:tr>
      <w:tr w:rsidR="0001527B" w:rsidTr="004F0F1B">
        <w:trPr>
          <w:trHeight w:hRule="exact" w:val="710"/>
        </w:trPr>
        <w:tc>
          <w:tcPr>
            <w:tcW w:w="9509" w:type="dxa"/>
            <w:gridSpan w:val="2"/>
          </w:tcPr>
          <w:p w:rsidR="0001527B" w:rsidRDefault="00957EFE" w:rsidP="003F6723">
            <w:pPr>
              <w:pStyle w:val="TableParagraph"/>
              <w:spacing w:before="202"/>
              <w:ind w:left="2558" w:right="167"/>
              <w:rPr>
                <w:sz w:val="24"/>
              </w:rPr>
            </w:pPr>
            <w:r>
              <w:rPr>
                <w:sz w:val="24"/>
              </w:rPr>
              <w:t xml:space="preserve">Autorizzazione </w:t>
            </w:r>
            <w:r w:rsidR="003F6723">
              <w:rPr>
                <w:sz w:val="24"/>
              </w:rPr>
              <w:t>ex art.68 e 69 del TULPS</w:t>
            </w:r>
            <w:r w:rsidR="00503F8A">
              <w:rPr>
                <w:sz w:val="24"/>
              </w:rPr>
              <w:t xml:space="preserve"> </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3F6723"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957EFE"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957EFE"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390D96" w:rsidP="004F0F1B">
            <w:pPr>
              <w:pStyle w:val="TableParagraph"/>
              <w:spacing w:before="13"/>
              <w:ind w:left="3" w:right="0"/>
              <w:jc w:val="center"/>
              <w:rPr>
                <w:b/>
                <w:sz w:val="16"/>
              </w:rPr>
            </w:pPr>
            <w:r>
              <w:rPr>
                <w:b/>
                <w:sz w:val="16"/>
              </w:rPr>
              <w:t>2</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390D96" w:rsidP="004F0F1B">
            <w:pPr>
              <w:pStyle w:val="TableParagraph"/>
              <w:spacing w:before="13"/>
              <w:ind w:left="3" w:right="0"/>
              <w:jc w:val="center"/>
              <w:rPr>
                <w:b/>
                <w:sz w:val="16"/>
              </w:rPr>
            </w:pPr>
            <w:r>
              <w:rPr>
                <w:b/>
                <w:sz w:val="16"/>
              </w:rPr>
              <w:t>3</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957EFE" w:rsidP="003F6723">
            <w:pPr>
              <w:pStyle w:val="TableParagraph"/>
              <w:spacing w:before="127"/>
              <w:ind w:left="634" w:right="635"/>
              <w:jc w:val="center"/>
              <w:rPr>
                <w:b/>
                <w:sz w:val="24"/>
              </w:rPr>
            </w:pPr>
            <w:r>
              <w:rPr>
                <w:b/>
                <w:sz w:val="24"/>
              </w:rPr>
              <w:t>2,</w:t>
            </w:r>
            <w:r w:rsidR="00390D96">
              <w:rPr>
                <w:b/>
                <w:sz w:val="24"/>
              </w:rPr>
              <w:t>66</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390D96" w:rsidP="004F0F1B">
            <w:pPr>
              <w:pStyle w:val="TableParagraph"/>
              <w:spacing w:before="13"/>
              <w:ind w:left="3" w:right="0"/>
              <w:jc w:val="center"/>
              <w:rPr>
                <w:b/>
                <w:sz w:val="16"/>
              </w:rPr>
            </w:pPr>
            <w:r>
              <w:rPr>
                <w:b/>
                <w:sz w:val="16"/>
              </w:rPr>
              <w:t>2</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390D96"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3F6723" w:rsidP="004F0F1B">
            <w:pPr>
              <w:pStyle w:val="TableParagraph"/>
              <w:spacing w:before="13"/>
              <w:ind w:left="3" w:right="0"/>
              <w:jc w:val="center"/>
              <w:rPr>
                <w:b/>
                <w:sz w:val="16"/>
              </w:rPr>
            </w:pPr>
            <w:r>
              <w:rPr>
                <w:b/>
                <w:sz w:val="16"/>
              </w:rPr>
              <w:t>2</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3F6723" w:rsidP="00DC6627">
            <w:pPr>
              <w:pStyle w:val="TableParagraph"/>
              <w:spacing w:before="84"/>
              <w:ind w:left="634" w:right="635"/>
              <w:jc w:val="center"/>
              <w:rPr>
                <w:b/>
                <w:sz w:val="24"/>
              </w:rPr>
            </w:pPr>
            <w:r>
              <w:rPr>
                <w:b/>
                <w:sz w:val="24"/>
              </w:rPr>
              <w:t>1</w:t>
            </w:r>
            <w:r w:rsidR="00390D96">
              <w:rPr>
                <w:b/>
                <w:sz w:val="24"/>
              </w:rPr>
              <w:t>,25</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390D96" w:rsidP="00DC6627">
            <w:pPr>
              <w:pStyle w:val="TableParagraph"/>
              <w:spacing w:before="144"/>
              <w:ind w:left="634" w:right="635"/>
              <w:jc w:val="center"/>
              <w:rPr>
                <w:b/>
                <w:sz w:val="24"/>
              </w:rPr>
            </w:pPr>
            <w:r>
              <w:rPr>
                <w:b/>
                <w:sz w:val="24"/>
              </w:rPr>
              <w:t>3,33</w:t>
            </w:r>
            <w:bookmarkStart w:id="0" w:name="_GoBack"/>
            <w:bookmarkEnd w:id="0"/>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390D96"/>
    <w:rsid w:val="003A6B44"/>
    <w:rsid w:val="003F6723"/>
    <w:rsid w:val="00400B84"/>
    <w:rsid w:val="00490BE0"/>
    <w:rsid w:val="00503F8A"/>
    <w:rsid w:val="00957EFE"/>
    <w:rsid w:val="00B51304"/>
    <w:rsid w:val="00BD0CDE"/>
    <w:rsid w:val="00DC6627"/>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708</Words>
  <Characters>4039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2017-01-15T16:50:00Z</dcterms:created>
  <dcterms:modified xsi:type="dcterms:W3CDTF">2018-01-07T22:44:00Z</dcterms:modified>
</cp:coreProperties>
</file>